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2F1F" w14:textId="744ABDDA" w:rsidR="007A4626" w:rsidRDefault="007A4626" w:rsidP="0059218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7A4626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7A4626">
        <w:rPr>
          <w:rFonts w:eastAsiaTheme="majorEastAsia" w:cstheme="majorBidi"/>
          <w:spacing w:val="-10"/>
          <w:kern w:val="28"/>
          <w:sz w:val="36"/>
          <w:szCs w:val="48"/>
        </w:rPr>
        <w:t xml:space="preserve"> Index </w:t>
      </w:r>
      <w:r w:rsidR="00BC39EA">
        <w:rPr>
          <w:rFonts w:eastAsiaTheme="majorEastAsia" w:cstheme="majorBidi"/>
          <w:spacing w:val="-10"/>
          <w:kern w:val="28"/>
          <w:sz w:val="36"/>
          <w:szCs w:val="48"/>
        </w:rPr>
        <w:t xml:space="preserve">v prosinci </w:t>
      </w:r>
      <w:r w:rsidR="001862C1">
        <w:rPr>
          <w:rFonts w:eastAsiaTheme="majorEastAsia" w:cstheme="majorBidi"/>
          <w:spacing w:val="-10"/>
          <w:kern w:val="28"/>
          <w:sz w:val="36"/>
          <w:szCs w:val="48"/>
        </w:rPr>
        <w:t>skokově posílil. Rok 2025 byl ve znamení výrazných výkyvů</w:t>
      </w:r>
    </w:p>
    <w:p w14:paraId="33E30913" w14:textId="6834F4BF" w:rsidR="0059218A" w:rsidRDefault="000706D4" w:rsidP="0059218A">
      <w:pPr>
        <w:pStyle w:val="Perex"/>
      </w:pPr>
      <w:r w:rsidRPr="00950A92">
        <w:t xml:space="preserve">Praha, </w:t>
      </w:r>
      <w:r w:rsidR="00D54236">
        <w:t>20</w:t>
      </w:r>
      <w:r w:rsidRPr="00950A92">
        <w:t xml:space="preserve">. </w:t>
      </w:r>
      <w:r w:rsidR="007A4626">
        <w:t>ledna</w:t>
      </w:r>
      <w:r w:rsidRPr="00950A92">
        <w:t xml:space="preserve"> 202</w:t>
      </w:r>
      <w:r w:rsidR="008F5CA4">
        <w:t>6</w:t>
      </w:r>
      <w:r w:rsidRPr="00950A92">
        <w:t xml:space="preserve"> –</w:t>
      </w:r>
      <w:r w:rsidR="00624D51" w:rsidRPr="00950A92">
        <w:t xml:space="preserve"> </w:t>
      </w:r>
      <w:r w:rsidR="001862C1" w:rsidRPr="001862C1">
        <w:t xml:space="preserve">Trh s ojetými vozy uzavřel rok 2025 výrazným posílením. </w:t>
      </w:r>
      <w:proofErr w:type="spellStart"/>
      <w:r w:rsidR="001862C1" w:rsidRPr="001862C1">
        <w:t>TipCars</w:t>
      </w:r>
      <w:proofErr w:type="spellEnd"/>
      <w:r w:rsidR="001862C1" w:rsidRPr="001862C1">
        <w:t xml:space="preserve"> Index v prosinci meziměsíčně vzrostl o 11,9 % a dosáhl hodnoty 1 047,1 bodu, což je nejvyšší úroveň celého roku a zároveň nejvyšší hodnota od října 2024. Zatímco jarní a letní měsíce přinesly mimořádně nízké hodnoty indexu výhodné zejména pro kupující, závěr roku se nesl ve znamení zlepšujících se podmínek pro prodávající. Vyplývá to z dat inzertního motoristického portálu </w:t>
      </w:r>
      <w:proofErr w:type="spellStart"/>
      <w:r w:rsidR="001862C1" w:rsidRPr="001862C1">
        <w:t>TipCars</w:t>
      </w:r>
      <w:proofErr w:type="spellEnd"/>
      <w:r w:rsidR="001862C1" w:rsidRPr="001862C1">
        <w:t>.</w:t>
      </w:r>
      <w:r w:rsidR="007A4626">
        <w:t xml:space="preserve"> </w:t>
      </w:r>
    </w:p>
    <w:p w14:paraId="0B7F57F7" w14:textId="56456B51" w:rsidR="00980BFE" w:rsidRDefault="00296D07" w:rsidP="0059218A">
      <w:pPr>
        <w:pStyle w:val="Perex"/>
        <w:rPr>
          <w:b w:val="0"/>
          <w:bCs w:val="0"/>
          <w:noProof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66847510" wp14:editId="6643746A">
            <wp:simplePos x="0" y="0"/>
            <wp:positionH relativeFrom="margin">
              <wp:posOffset>22225</wp:posOffset>
            </wp:positionH>
            <wp:positionV relativeFrom="paragraph">
              <wp:posOffset>59690</wp:posOffset>
            </wp:positionV>
            <wp:extent cx="3124200" cy="1767840"/>
            <wp:effectExtent l="0" t="0" r="0" b="3810"/>
            <wp:wrapSquare wrapText="bothSides"/>
            <wp:docPr id="853328014" name="Obrázok 1" descr="Obrázok, na ktorom je vývoj, text, snímka obrazovky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28014" name="Obrázok 1" descr="Obrázok, na ktorom je vývoj, text, snímka obrazovky, rad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2C1" w:rsidRPr="001862C1">
        <w:rPr>
          <w:b w:val="0"/>
          <w:bCs w:val="0"/>
          <w:noProof/>
        </w:rPr>
        <w:t xml:space="preserve">TipCars Index, který sleduje vývoj cen a dostupnosti deseti nejvyhledávanějších modelů na českém trhu, potvrdil v prosinci pokračující obrat trendu z předchozích měsíců. Po dlouhém období nízkých hodnot se index v závěru roku vrátil nad hranici 1 000 bodů. </w:t>
      </w:r>
      <w:r w:rsidR="001862C1" w:rsidRPr="001862C1">
        <w:rPr>
          <w:b w:val="0"/>
          <w:bCs w:val="0"/>
          <w:i/>
          <w:iCs/>
          <w:noProof/>
        </w:rPr>
        <w:t>„Prosincová hodnota představuje nejvyšší úroveň celého roku 2025. Druhé nejvyšší hodnoty dosáhl index v lednu, kdy činil 956,2 bodu,“</w:t>
      </w:r>
      <w:r w:rsidR="001862C1" w:rsidRPr="001862C1">
        <w:rPr>
          <w:b w:val="0"/>
          <w:bCs w:val="0"/>
          <w:noProof/>
        </w:rPr>
        <w:t xml:space="preserve"> komentuje data </w:t>
      </w:r>
      <w:r w:rsidR="001862C1" w:rsidRPr="001862C1">
        <w:rPr>
          <w:noProof/>
        </w:rPr>
        <w:t>Marek Knieža, ředitel TipCars</w:t>
      </w:r>
      <w:r w:rsidR="001862C1" w:rsidRPr="001862C1">
        <w:rPr>
          <w:b w:val="0"/>
          <w:bCs w:val="0"/>
          <w:noProof/>
        </w:rPr>
        <w:t>.</w:t>
      </w:r>
    </w:p>
    <w:p w14:paraId="3DDAF71A" w14:textId="369C85C0" w:rsidR="007A4626" w:rsidRDefault="007A4626" w:rsidP="007A4626">
      <w:pPr>
        <w:pStyle w:val="Mezinadpis2"/>
        <w:rPr>
          <w:noProof/>
        </w:rPr>
      </w:pPr>
      <w:r w:rsidRPr="007A4626">
        <w:rPr>
          <w:noProof/>
        </w:rPr>
        <w:t xml:space="preserve">Rok 2025 </w:t>
      </w:r>
      <w:r w:rsidR="001862C1">
        <w:rPr>
          <w:noProof/>
        </w:rPr>
        <w:t>ve znamení výrazných výkyvů</w:t>
      </w:r>
    </w:p>
    <w:p w14:paraId="26054227" w14:textId="77777777" w:rsidR="001862C1" w:rsidRDefault="001862C1" w:rsidP="007A4626">
      <w:pPr>
        <w:pStyle w:val="Mezinadpis2"/>
        <w:rPr>
          <w:rFonts w:eastAsiaTheme="minorHAnsi" w:cstheme="minorBidi"/>
          <w:b w:val="0"/>
          <w:bCs w:val="0"/>
          <w:noProof/>
          <w:sz w:val="20"/>
        </w:rPr>
      </w:pPr>
      <w:r w:rsidRPr="001862C1">
        <w:rPr>
          <w:rFonts w:eastAsiaTheme="minorHAnsi" w:cstheme="minorBidi"/>
          <w:b w:val="0"/>
          <w:bCs w:val="0"/>
          <w:noProof/>
          <w:sz w:val="20"/>
        </w:rPr>
        <w:t>Navzdory silnému závěru se rok 2025 vyznačoval mimořádně rozdílným vývojem v jednotlivých obdobích. Nejnižší hodnoty indexu byly zaznamenány na jaře a v létě, přičemž nejhlubší propad přišel v dubnu, kdy index klesl na 886,9 bodu. Celkem třikrát se během roku dostal pod hranici 900 bodů, což je situace, která se v historii jeho sledování dosud nevyskytla.</w:t>
      </w:r>
    </w:p>
    <w:p w14:paraId="78604584" w14:textId="77777777" w:rsidR="001862C1" w:rsidRDefault="001862C1" w:rsidP="007A4626">
      <w:pPr>
        <w:pStyle w:val="Mezinadpis2"/>
        <w:rPr>
          <w:rFonts w:eastAsiaTheme="minorHAnsi" w:cstheme="minorBidi"/>
          <w:b w:val="0"/>
          <w:bCs w:val="0"/>
          <w:noProof/>
          <w:sz w:val="20"/>
        </w:rPr>
      </w:pPr>
      <w:r w:rsidRPr="001862C1">
        <w:rPr>
          <w:rFonts w:eastAsiaTheme="minorHAnsi" w:cstheme="minorBidi"/>
          <w:b w:val="0"/>
          <w:bCs w:val="0"/>
          <w:i/>
          <w:iCs/>
          <w:noProof/>
          <w:sz w:val="20"/>
        </w:rPr>
        <w:t>„Vývoj indexu v roce 2025 měl tvar písmene U. Vyšší hodnoty jsme viděli na začátku a na konci roku, zatímco jarní a letní měsíce se vyznačovaly velmi nízkými hodnotami,“</w:t>
      </w:r>
      <w:r w:rsidRPr="001862C1">
        <w:rPr>
          <w:rFonts w:eastAsiaTheme="minorHAnsi" w:cstheme="minorBidi"/>
          <w:b w:val="0"/>
          <w:bCs w:val="0"/>
          <w:noProof/>
          <w:sz w:val="20"/>
        </w:rPr>
        <w:t xml:space="preserve"> doplňuje </w:t>
      </w:r>
      <w:r w:rsidRPr="001862C1">
        <w:rPr>
          <w:rFonts w:eastAsiaTheme="minorHAnsi" w:cstheme="minorBidi"/>
          <w:noProof/>
          <w:sz w:val="20"/>
        </w:rPr>
        <w:t>Marek Knieža</w:t>
      </w:r>
      <w:r w:rsidRPr="001862C1">
        <w:rPr>
          <w:rFonts w:eastAsiaTheme="minorHAnsi" w:cstheme="minorBidi"/>
          <w:b w:val="0"/>
          <w:bCs w:val="0"/>
          <w:noProof/>
          <w:sz w:val="20"/>
        </w:rPr>
        <w:t>.</w:t>
      </w:r>
    </w:p>
    <w:p w14:paraId="25E4BF6F" w14:textId="08B08EBB" w:rsidR="001862C1" w:rsidRDefault="001862C1" w:rsidP="007A4626">
      <w:pPr>
        <w:pStyle w:val="Mezinadpis2"/>
        <w:rPr>
          <w:rFonts w:eastAsiaTheme="minorHAnsi" w:cstheme="minorBidi"/>
          <w:b w:val="0"/>
          <w:bCs w:val="0"/>
          <w:noProof/>
          <w:sz w:val="20"/>
        </w:rPr>
      </w:pPr>
      <w:r w:rsidRPr="001862C1">
        <w:rPr>
          <w:rFonts w:eastAsiaTheme="minorHAnsi" w:cstheme="minorBidi"/>
          <w:b w:val="0"/>
          <w:bCs w:val="0"/>
          <w:noProof/>
          <w:sz w:val="20"/>
        </w:rPr>
        <w:t>Nízké hodnoty indexu přitom neznamenají zhoršení kondice trhu. Naopak signalizují období, kdy měli výrazně navrch kupující a kdy kombinace cen a dostupnosti vozů vytvářela nadstandardně příznivé podmínky pro nákup.</w:t>
      </w:r>
    </w:p>
    <w:p w14:paraId="4582CEFA" w14:textId="77777777" w:rsidR="001862C1" w:rsidRDefault="001862C1" w:rsidP="0059218A">
      <w:pPr>
        <w:pStyle w:val="Perex"/>
        <w:rPr>
          <w:rFonts w:eastAsiaTheme="majorEastAsia" w:cstheme="majorBidi"/>
          <w:noProof/>
          <w:sz w:val="24"/>
        </w:rPr>
      </w:pPr>
      <w:r w:rsidRPr="001862C1">
        <w:rPr>
          <w:rFonts w:eastAsiaTheme="majorEastAsia" w:cstheme="majorBidi"/>
          <w:noProof/>
          <w:sz w:val="24"/>
        </w:rPr>
        <w:t>Ceny rostly jen u části modelů, nabídka spíše klesala</w:t>
      </w:r>
    </w:p>
    <w:p w14:paraId="67566E82" w14:textId="77777777" w:rsidR="001862C1" w:rsidRDefault="001862C1" w:rsidP="0059218A">
      <w:pPr>
        <w:pStyle w:val="Perex"/>
        <w:rPr>
          <w:b w:val="0"/>
          <w:bCs w:val="0"/>
          <w:noProof/>
        </w:rPr>
      </w:pPr>
      <w:r w:rsidRPr="001862C1">
        <w:rPr>
          <w:b w:val="0"/>
          <w:bCs w:val="0"/>
          <w:noProof/>
        </w:rPr>
        <w:t>Meziměsíční srovnání cen sledovaných modelů ukazuje na mírné celkové zdražení o 1,4 %, které však nebylo plošné. Ceny vzrostly pouze u tří z deseti sledovaných modelů, zatímco u většiny došlo k poklesu.</w:t>
      </w:r>
    </w:p>
    <w:p w14:paraId="50570777" w14:textId="77777777" w:rsidR="001862C1" w:rsidRDefault="001862C1" w:rsidP="0059218A">
      <w:pPr>
        <w:pStyle w:val="Perex"/>
        <w:rPr>
          <w:b w:val="0"/>
          <w:bCs w:val="0"/>
          <w:noProof/>
        </w:rPr>
      </w:pPr>
      <w:r w:rsidRPr="001862C1">
        <w:rPr>
          <w:b w:val="0"/>
          <w:bCs w:val="0"/>
          <w:noProof/>
        </w:rPr>
        <w:t xml:space="preserve">Nejvýraznější nárůst ceny zaznamenalo BMW řady 5, jehož průměrná cena vzrostla o 17,1 %, následované Mercedesem-Benz třídy E s růstem o 11,3 %. U obou modelů byl současně patrný výrazný meziměsíční pokles nabídky. Na opačné straně spektra stála Škoda Fabia, u které došlo </w:t>
      </w:r>
      <w:r w:rsidRPr="001862C1">
        <w:rPr>
          <w:b w:val="0"/>
          <w:bCs w:val="0"/>
          <w:noProof/>
        </w:rPr>
        <w:lastRenderedPageBreak/>
        <w:t>k největšímu procentuálnímu poklesu ceny (–14,7 %) a zároveň k nárůstu počtu nabízených vozů.</w:t>
      </w:r>
    </w:p>
    <w:p w14:paraId="4400E4EF" w14:textId="5E071254" w:rsidR="00980BFE" w:rsidRDefault="001862C1" w:rsidP="0059218A">
      <w:pPr>
        <w:pStyle w:val="Perex"/>
        <w:rPr>
          <w:b w:val="0"/>
          <w:bCs w:val="0"/>
          <w:noProof/>
        </w:rPr>
      </w:pPr>
      <w:r w:rsidRPr="001862C1">
        <w:rPr>
          <w:b w:val="0"/>
          <w:bCs w:val="0"/>
          <w:noProof/>
        </w:rPr>
        <w:t>Celkově se nabídka mezi nejvyhledávanějšími modely v prosinci snížila u sedmi z deseti sledovaných vozů. Největší úbytek byl patrný u modelů značky BMW – jak u řady 3 (–12,5 %), tak u řady 5 (–12 %)</w:t>
      </w:r>
      <w:r w:rsidR="00980BFE">
        <w:rPr>
          <w:b w:val="0"/>
          <w:bCs w:val="0"/>
          <w:noProof/>
        </w:rPr>
        <w:t xml:space="preserve">. </w:t>
      </w:r>
    </w:p>
    <w:p w14:paraId="607E4BE0" w14:textId="77777777" w:rsidR="001862C1" w:rsidRDefault="001862C1" w:rsidP="0059218A">
      <w:pPr>
        <w:pStyle w:val="Perex"/>
        <w:rPr>
          <w:rFonts w:eastAsiaTheme="majorEastAsia" w:cstheme="majorBidi"/>
          <w:noProof/>
          <w:sz w:val="24"/>
        </w:rPr>
      </w:pPr>
      <w:r w:rsidRPr="001862C1">
        <w:rPr>
          <w:rFonts w:eastAsiaTheme="majorEastAsia" w:cstheme="majorBidi"/>
          <w:noProof/>
          <w:sz w:val="24"/>
        </w:rPr>
        <w:t>Jak TipCars Index číst</w:t>
      </w:r>
    </w:p>
    <w:p w14:paraId="034D06DE" w14:textId="77777777" w:rsidR="001862C1" w:rsidRDefault="001862C1" w:rsidP="007A4626">
      <w:pPr>
        <w:pStyle w:val="Mezinadpis2"/>
        <w:rPr>
          <w:rFonts w:eastAsiaTheme="minorHAnsi" w:cstheme="minorBidi"/>
          <w:b w:val="0"/>
          <w:bCs w:val="0"/>
          <w:noProof/>
          <w:sz w:val="20"/>
        </w:rPr>
      </w:pPr>
      <w:r w:rsidRPr="001862C1">
        <w:rPr>
          <w:rFonts w:eastAsiaTheme="minorHAnsi" w:cstheme="minorBidi"/>
          <w:b w:val="0"/>
          <w:bCs w:val="0"/>
          <w:noProof/>
          <w:sz w:val="20"/>
        </w:rPr>
        <w:t>TipCars Index dlouhodobě slouží jako ukazatel rovnováhy mezi cenami a dostupností vozů na trhu. Datový tým TipCars každý měsíc analyzuje průměrné ceny a počty deseti nejvyhledávanějších modelů, na jejichž základě je vypočítána bodová hodnota indexu.</w:t>
      </w:r>
    </w:p>
    <w:p w14:paraId="71B86A06" w14:textId="325F0B9B" w:rsidR="001862C1" w:rsidRDefault="001862C1" w:rsidP="007A4626">
      <w:pPr>
        <w:pStyle w:val="Mezinadpis2"/>
        <w:rPr>
          <w:rFonts w:eastAsiaTheme="minorHAnsi" w:cstheme="minorBidi"/>
          <w:b w:val="0"/>
          <w:bCs w:val="0"/>
          <w:noProof/>
          <w:sz w:val="20"/>
        </w:rPr>
      </w:pPr>
      <w:r w:rsidRPr="001862C1">
        <w:rPr>
          <w:rFonts w:eastAsiaTheme="minorHAnsi" w:cstheme="minorBidi"/>
          <w:b w:val="0"/>
          <w:bCs w:val="0"/>
          <w:noProof/>
          <w:sz w:val="20"/>
        </w:rPr>
        <w:t>Nižší hodnota indexu obecně značí příznivější podmínky pro kupující, zatímco vyšší hodnota nahrává spíše prodávajícím. Vývoj indexu tak přehledně ukazuje, která strana trhu má v daném období silnější vyjednávací pozici.</w:t>
      </w:r>
    </w:p>
    <w:p w14:paraId="0C20FE1F" w14:textId="77777777" w:rsidR="001862C1" w:rsidRDefault="001862C1" w:rsidP="0059218A">
      <w:pPr>
        <w:pStyle w:val="Perex"/>
        <w:rPr>
          <w:rFonts w:eastAsiaTheme="majorEastAsia" w:cstheme="majorBidi"/>
          <w:noProof/>
          <w:sz w:val="24"/>
        </w:rPr>
      </w:pPr>
      <w:r w:rsidRPr="001862C1">
        <w:rPr>
          <w:rFonts w:eastAsiaTheme="majorEastAsia" w:cstheme="majorBidi"/>
          <w:noProof/>
          <w:sz w:val="24"/>
        </w:rPr>
        <w:t>Přirozený cyklus a výhled do roku 2026</w:t>
      </w:r>
    </w:p>
    <w:p w14:paraId="4313B63F" w14:textId="77777777" w:rsidR="001862C1" w:rsidRDefault="001862C1" w:rsidP="001223EF">
      <w:pPr>
        <w:pStyle w:val="patikanadpis"/>
        <w:rPr>
          <w:rFonts w:eastAsiaTheme="minorHAnsi" w:cstheme="minorBidi"/>
          <w:b w:val="0"/>
          <w:bCs w:val="0"/>
          <w:noProof/>
          <w:color w:val="auto"/>
          <w:sz w:val="20"/>
        </w:rPr>
      </w:pPr>
      <w:r w:rsidRPr="001862C1">
        <w:rPr>
          <w:rFonts w:eastAsiaTheme="minorHAnsi" w:cstheme="minorBidi"/>
          <w:b w:val="0"/>
          <w:bCs w:val="0"/>
          <w:noProof/>
          <w:color w:val="auto"/>
          <w:sz w:val="20"/>
        </w:rPr>
        <w:t>Rok 2025 ukázal, že trh s ojetými vozy nefunguje jednostranně. V jeho průběhu se vystřídala období výhodná pro kupující s fázemi, které naopak nahrávaly prodávajícím. Právě tato proměnlivost je známkou zdravého trhu, který dokáže pružně reagovat na změny nabídky i poptávky.</w:t>
      </w:r>
    </w:p>
    <w:p w14:paraId="68311EFB" w14:textId="6D7F2DFA" w:rsidR="001862C1" w:rsidRDefault="001862C1" w:rsidP="001223EF">
      <w:pPr>
        <w:pStyle w:val="patikanadpis"/>
        <w:rPr>
          <w:rFonts w:eastAsiaTheme="minorHAnsi" w:cstheme="minorBidi"/>
          <w:b w:val="0"/>
          <w:bCs w:val="0"/>
          <w:noProof/>
          <w:color w:val="auto"/>
          <w:sz w:val="20"/>
        </w:rPr>
      </w:pPr>
      <w:r w:rsidRPr="008F5CA4">
        <w:rPr>
          <w:rFonts w:eastAsiaTheme="minorHAnsi" w:cstheme="minorBidi"/>
          <w:b w:val="0"/>
          <w:bCs w:val="0"/>
          <w:i/>
          <w:iCs/>
          <w:noProof/>
          <w:color w:val="auto"/>
          <w:sz w:val="20"/>
        </w:rPr>
        <w:t>„Velmi nízké hodnoty indexu, které jsme zaznamenali v některých měsících roku 2025, vnímáme spíše jako výjimečné. Nejde o stav, který by měl být dlouhodobým standardem trhu. Současný vývoj tak může pro část prodávajících představovat vhodné období k realizaci prodeje, protože s dalším vývojem roku se podmínky na trhu mohou znovu proměnit,“</w:t>
      </w:r>
      <w:r w:rsidRPr="001862C1">
        <w:rPr>
          <w:rFonts w:eastAsiaTheme="minorHAnsi" w:cstheme="minorBidi"/>
          <w:b w:val="0"/>
          <w:bCs w:val="0"/>
          <w:noProof/>
          <w:color w:val="auto"/>
          <w:sz w:val="20"/>
        </w:rPr>
        <w:t xml:space="preserve"> uzavírá </w:t>
      </w:r>
      <w:r w:rsidRPr="008F5CA4">
        <w:rPr>
          <w:rFonts w:eastAsiaTheme="minorHAnsi" w:cstheme="minorBidi"/>
          <w:noProof/>
          <w:color w:val="auto"/>
          <w:sz w:val="20"/>
        </w:rPr>
        <w:t>Marek Knieža</w:t>
      </w:r>
      <w:r w:rsidRPr="001862C1">
        <w:rPr>
          <w:rFonts w:eastAsiaTheme="minorHAnsi" w:cstheme="minorBidi"/>
          <w:b w:val="0"/>
          <w:bCs w:val="0"/>
          <w:noProof/>
          <w:color w:val="auto"/>
          <w:sz w:val="20"/>
        </w:rPr>
        <w:t>.</w:t>
      </w:r>
    </w:p>
    <w:p w14:paraId="708C60C7" w14:textId="77777777" w:rsidR="001862C1" w:rsidRDefault="001862C1" w:rsidP="001223EF">
      <w:pPr>
        <w:pStyle w:val="patikanadpis"/>
        <w:rPr>
          <w:rFonts w:eastAsiaTheme="minorHAnsi" w:cstheme="minorBidi"/>
          <w:b w:val="0"/>
          <w:bCs w:val="0"/>
          <w:noProof/>
          <w:color w:val="auto"/>
          <w:sz w:val="20"/>
        </w:rPr>
      </w:pPr>
    </w:p>
    <w:p w14:paraId="78058D2B" w14:textId="3F7E6F9B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5FE13C9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</w:t>
      </w:r>
      <w:r w:rsidR="00DD7C0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8C9C" w14:textId="77777777" w:rsidR="003D1B8B" w:rsidRPr="00950A92" w:rsidRDefault="003D1B8B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494B9D04" w14:textId="77777777" w:rsidR="003D1B8B" w:rsidRPr="00950A92" w:rsidRDefault="003D1B8B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7114B240" w14:textId="77777777" w:rsidR="003D1B8B" w:rsidRPr="00950A92" w:rsidRDefault="003D1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0928" w14:textId="77777777" w:rsidR="003D1B8B" w:rsidRPr="00950A92" w:rsidRDefault="003D1B8B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5BE7F15D" w14:textId="77777777" w:rsidR="003D1B8B" w:rsidRPr="00950A92" w:rsidRDefault="003D1B8B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23A21F95" w14:textId="77777777" w:rsidR="003D1B8B" w:rsidRPr="00950A92" w:rsidRDefault="003D1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6C73"/>
    <w:rsid w:val="000200FC"/>
    <w:rsid w:val="00023783"/>
    <w:rsid w:val="000244E9"/>
    <w:rsid w:val="00027672"/>
    <w:rsid w:val="00031DFB"/>
    <w:rsid w:val="000359C2"/>
    <w:rsid w:val="00035AB2"/>
    <w:rsid w:val="00035EC8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381F"/>
    <w:rsid w:val="000C4A6F"/>
    <w:rsid w:val="000C5F77"/>
    <w:rsid w:val="000C6812"/>
    <w:rsid w:val="000D1B54"/>
    <w:rsid w:val="000D6393"/>
    <w:rsid w:val="000E110B"/>
    <w:rsid w:val="000E1381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562B"/>
    <w:rsid w:val="00176E78"/>
    <w:rsid w:val="0018016A"/>
    <w:rsid w:val="00180834"/>
    <w:rsid w:val="0018560C"/>
    <w:rsid w:val="00185DF5"/>
    <w:rsid w:val="001862C1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6244"/>
    <w:rsid w:val="00237097"/>
    <w:rsid w:val="00237BA9"/>
    <w:rsid w:val="00242E25"/>
    <w:rsid w:val="0024370B"/>
    <w:rsid w:val="002524B9"/>
    <w:rsid w:val="002550EE"/>
    <w:rsid w:val="002563D3"/>
    <w:rsid w:val="00266C8F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6D07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27727"/>
    <w:rsid w:val="0033277C"/>
    <w:rsid w:val="00334470"/>
    <w:rsid w:val="00342CC1"/>
    <w:rsid w:val="0035287B"/>
    <w:rsid w:val="00352E78"/>
    <w:rsid w:val="003532E9"/>
    <w:rsid w:val="003538CD"/>
    <w:rsid w:val="00357DE9"/>
    <w:rsid w:val="00357F53"/>
    <w:rsid w:val="00362072"/>
    <w:rsid w:val="0036285C"/>
    <w:rsid w:val="00364638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1A26"/>
    <w:rsid w:val="003D1B8B"/>
    <w:rsid w:val="003D6C2A"/>
    <w:rsid w:val="003D752E"/>
    <w:rsid w:val="003E0947"/>
    <w:rsid w:val="003E1919"/>
    <w:rsid w:val="003E3B89"/>
    <w:rsid w:val="003E54BD"/>
    <w:rsid w:val="003E7194"/>
    <w:rsid w:val="003E7D79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9B7"/>
    <w:rsid w:val="00444AE7"/>
    <w:rsid w:val="004456B2"/>
    <w:rsid w:val="00445EBF"/>
    <w:rsid w:val="00446B59"/>
    <w:rsid w:val="00447444"/>
    <w:rsid w:val="0045016E"/>
    <w:rsid w:val="004503EB"/>
    <w:rsid w:val="00451F91"/>
    <w:rsid w:val="00453165"/>
    <w:rsid w:val="004539D6"/>
    <w:rsid w:val="00463C51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B62"/>
    <w:rsid w:val="004A23C8"/>
    <w:rsid w:val="004A2CE4"/>
    <w:rsid w:val="004A5F74"/>
    <w:rsid w:val="004A6590"/>
    <w:rsid w:val="004B01A4"/>
    <w:rsid w:val="004B29DE"/>
    <w:rsid w:val="004B699A"/>
    <w:rsid w:val="004B7A10"/>
    <w:rsid w:val="004B7B1D"/>
    <w:rsid w:val="004C09CE"/>
    <w:rsid w:val="004C3360"/>
    <w:rsid w:val="004C4300"/>
    <w:rsid w:val="004C44DB"/>
    <w:rsid w:val="004C4833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2BB"/>
    <w:rsid w:val="00551D2D"/>
    <w:rsid w:val="00554D74"/>
    <w:rsid w:val="00555459"/>
    <w:rsid w:val="00555DD6"/>
    <w:rsid w:val="00555FC0"/>
    <w:rsid w:val="00556E30"/>
    <w:rsid w:val="00565E54"/>
    <w:rsid w:val="00570A0A"/>
    <w:rsid w:val="005807A0"/>
    <w:rsid w:val="0058103D"/>
    <w:rsid w:val="00581B48"/>
    <w:rsid w:val="005838C6"/>
    <w:rsid w:val="00584F5A"/>
    <w:rsid w:val="005864BD"/>
    <w:rsid w:val="00587B36"/>
    <w:rsid w:val="00591A18"/>
    <w:rsid w:val="0059218A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482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50B2D"/>
    <w:rsid w:val="00651972"/>
    <w:rsid w:val="006565E9"/>
    <w:rsid w:val="006729CF"/>
    <w:rsid w:val="00676A6A"/>
    <w:rsid w:val="00680243"/>
    <w:rsid w:val="00682D43"/>
    <w:rsid w:val="00685B93"/>
    <w:rsid w:val="00687BBE"/>
    <w:rsid w:val="00691A21"/>
    <w:rsid w:val="00693033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486"/>
    <w:rsid w:val="00705E13"/>
    <w:rsid w:val="00711929"/>
    <w:rsid w:val="007133C0"/>
    <w:rsid w:val="00714C11"/>
    <w:rsid w:val="00717F5B"/>
    <w:rsid w:val="0072011B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0947"/>
    <w:rsid w:val="00781ED9"/>
    <w:rsid w:val="00782A9C"/>
    <w:rsid w:val="007857AB"/>
    <w:rsid w:val="0078687B"/>
    <w:rsid w:val="00790013"/>
    <w:rsid w:val="007916C7"/>
    <w:rsid w:val="007920EC"/>
    <w:rsid w:val="00793B5A"/>
    <w:rsid w:val="007A08A1"/>
    <w:rsid w:val="007A0ADB"/>
    <w:rsid w:val="007A0DA8"/>
    <w:rsid w:val="007A16ED"/>
    <w:rsid w:val="007A442E"/>
    <w:rsid w:val="007A4626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7F7A03"/>
    <w:rsid w:val="00800B19"/>
    <w:rsid w:val="00810900"/>
    <w:rsid w:val="00812C97"/>
    <w:rsid w:val="00813B3F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3B4F"/>
    <w:rsid w:val="00871451"/>
    <w:rsid w:val="00871D0C"/>
    <w:rsid w:val="0087258C"/>
    <w:rsid w:val="00874FD7"/>
    <w:rsid w:val="0088269E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A8E"/>
    <w:rsid w:val="008D7EFC"/>
    <w:rsid w:val="008E4342"/>
    <w:rsid w:val="008E7AA0"/>
    <w:rsid w:val="008F3CE0"/>
    <w:rsid w:val="008F4875"/>
    <w:rsid w:val="008F504B"/>
    <w:rsid w:val="008F50EA"/>
    <w:rsid w:val="008F5CA4"/>
    <w:rsid w:val="008F6EC4"/>
    <w:rsid w:val="008F74B0"/>
    <w:rsid w:val="008F77B3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0BFE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062"/>
    <w:rsid w:val="00A12955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77FB"/>
    <w:rsid w:val="00AA072C"/>
    <w:rsid w:val="00AA2B69"/>
    <w:rsid w:val="00AA4683"/>
    <w:rsid w:val="00AA7B25"/>
    <w:rsid w:val="00AA7F75"/>
    <w:rsid w:val="00AB1A64"/>
    <w:rsid w:val="00AB3789"/>
    <w:rsid w:val="00AB4A4D"/>
    <w:rsid w:val="00AB4D0C"/>
    <w:rsid w:val="00AC02DF"/>
    <w:rsid w:val="00AC3245"/>
    <w:rsid w:val="00AC4A1D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4B0F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754"/>
    <w:rsid w:val="00BA0E1B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39EA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C05C6"/>
    <w:rsid w:val="00CC54AB"/>
    <w:rsid w:val="00CC5A12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54236"/>
    <w:rsid w:val="00D62AE0"/>
    <w:rsid w:val="00D649D5"/>
    <w:rsid w:val="00D654AD"/>
    <w:rsid w:val="00D65942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D7C00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928"/>
    <w:rsid w:val="00E85B80"/>
    <w:rsid w:val="00E961A2"/>
    <w:rsid w:val="00EA097C"/>
    <w:rsid w:val="00EA2E48"/>
    <w:rsid w:val="00EA7627"/>
    <w:rsid w:val="00EB0C1D"/>
    <w:rsid w:val="00EB1CE4"/>
    <w:rsid w:val="00EB51CB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37A0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81303"/>
    <w:rsid w:val="00F816AF"/>
    <w:rsid w:val="00F82229"/>
    <w:rsid w:val="00F826F8"/>
    <w:rsid w:val="00F91F1D"/>
    <w:rsid w:val="00F92794"/>
    <w:rsid w:val="00F92A7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C251B"/>
    <w:rsid w:val="00FC55BC"/>
    <w:rsid w:val="00FD03F1"/>
    <w:rsid w:val="00FD3C54"/>
    <w:rsid w:val="00FD6F57"/>
    <w:rsid w:val="00FE0043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3929</Characters>
  <Application>Microsoft Office Word</Application>
  <DocSecurity>4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2026-01-19T11:44:00Z</dcterms:created>
  <dcterms:modified xsi:type="dcterms:W3CDTF">2026-01-19T11:44:00Z</dcterms:modified>
</cp:coreProperties>
</file>